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FBB3012" w:rsidR="004F3EF6" w:rsidRDefault="00D652E5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INFLUENCE OF </w:t>
      </w:r>
      <w:r>
        <w:rPr>
          <w:b/>
          <w:i/>
          <w:sz w:val="32"/>
          <w:szCs w:val="32"/>
        </w:rPr>
        <w:t>N</w:t>
      </w:r>
      <w:r w:rsidR="003F06D7">
        <w:rPr>
          <w:b/>
          <w:sz w:val="32"/>
          <w:szCs w:val="32"/>
        </w:rPr>
        <w:t>-GLYCO</w:t>
      </w:r>
      <w:r>
        <w:rPr>
          <w:b/>
          <w:sz w:val="32"/>
          <w:szCs w:val="32"/>
        </w:rPr>
        <w:t>S</w:t>
      </w:r>
      <w:r w:rsidR="003F06D7">
        <w:rPr>
          <w:b/>
          <w:sz w:val="32"/>
          <w:szCs w:val="32"/>
        </w:rPr>
        <w:t>YL</w:t>
      </w:r>
      <w:r>
        <w:rPr>
          <w:b/>
          <w:sz w:val="32"/>
          <w:szCs w:val="32"/>
        </w:rPr>
        <w:t>ATION ON HORSERADISH PEROXIDASE STABILIZATION</w:t>
      </w:r>
    </w:p>
    <w:p w14:paraId="00000002" w14:textId="77777777" w:rsidR="004F3EF6" w:rsidRDefault="00D652E5">
      <w:pPr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Sanja Škulj</w:t>
      </w:r>
      <w:r>
        <w:rPr>
          <w:sz w:val="24"/>
          <w:szCs w:val="24"/>
        </w:rPr>
        <w:t xml:space="preserve">, Antun Barišić, Zoe Jelić Matošević, </w:t>
      </w:r>
      <w:r>
        <w:rPr>
          <w:b/>
          <w:sz w:val="24"/>
          <w:szCs w:val="24"/>
          <w:vertAlign w:val="superscript"/>
        </w:rPr>
        <w:t>*</w:t>
      </w:r>
      <w:r>
        <w:rPr>
          <w:sz w:val="24"/>
          <w:szCs w:val="24"/>
        </w:rPr>
        <w:t>Branimir Bertoša</w:t>
      </w:r>
    </w:p>
    <w:p w14:paraId="00000003" w14:textId="77777777" w:rsidR="004F3EF6" w:rsidRDefault="00D652E5">
      <w:pPr>
        <w:tabs>
          <w:tab w:val="left" w:pos="17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Division of Physical Chemistry, Faculty of science, Horvatovac 102a</w:t>
      </w:r>
    </w:p>
    <w:p w14:paraId="00000004" w14:textId="77777777" w:rsidR="004F3EF6" w:rsidRDefault="00D652E5">
      <w:pPr>
        <w:tabs>
          <w:tab w:val="left" w:pos="170"/>
        </w:tabs>
        <w:spacing w:after="0" w:line="276" w:lineRule="auto"/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e-mail: </w:t>
      </w:r>
      <w:r>
        <w:rPr>
          <w:b/>
          <w:sz w:val="20"/>
          <w:szCs w:val="20"/>
        </w:rPr>
        <w:t>bbertosa@chem.pmf.hr</w:t>
      </w:r>
    </w:p>
    <w:p w14:paraId="00000005" w14:textId="77777777" w:rsidR="004F3EF6" w:rsidRDefault="004F3EF6">
      <w:pPr>
        <w:spacing w:after="120" w:line="276" w:lineRule="auto"/>
      </w:pPr>
    </w:p>
    <w:p w14:paraId="00000006" w14:textId="21B7DF18" w:rsidR="004F3EF6" w:rsidRDefault="00D652E5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Horseradish peroxidase (HRP) is an enzyme that catalyzes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dependent oxidation of a wide variety of substrates. HRP contains four structurally essential disulfide bonds and two calcium ions, and moreover, requires presence of a heme cofactor to be functional. Martell and coworkers introduced an active form of split horseradish peroxidase (sHRP), showcasing its potential application in elucidation of communication mechanisms between a varieties of cell types in protein–protein interactions [1]. HRP and sHRP contain nine and eight</w:t>
      </w:r>
      <w:r w:rsidR="008E4FF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-linked glycosylation sites</w:t>
      </w:r>
      <w:r w:rsidR="008E4FFD">
        <w:rPr>
          <w:sz w:val="24"/>
          <w:szCs w:val="24"/>
        </w:rPr>
        <w:t>, respecitively,</w:t>
      </w:r>
      <w:r>
        <w:rPr>
          <w:sz w:val="24"/>
          <w:szCs w:val="24"/>
        </w:rPr>
        <w:t xml:space="preserve"> which are of particular importance, a</w:t>
      </w:r>
      <w:r w:rsidR="008E4FFD">
        <w:rPr>
          <w:sz w:val="24"/>
          <w:szCs w:val="24"/>
        </w:rPr>
        <w:t>s it is established that glycosyl</w:t>
      </w:r>
      <w:r>
        <w:rPr>
          <w:sz w:val="24"/>
          <w:szCs w:val="24"/>
        </w:rPr>
        <w:t xml:space="preserve">ation plays </w:t>
      </w:r>
      <w:r w:rsidR="008E4FFD">
        <w:rPr>
          <w:sz w:val="24"/>
          <w:szCs w:val="24"/>
        </w:rPr>
        <w:t xml:space="preserve">an </w:t>
      </w:r>
      <w:r>
        <w:rPr>
          <w:sz w:val="24"/>
          <w:szCs w:val="24"/>
        </w:rPr>
        <w:t>essential role in HRP and sHRP activity.</w:t>
      </w:r>
    </w:p>
    <w:p w14:paraId="00000007" w14:textId="4D810E94" w:rsidR="004F3EF6" w:rsidRDefault="00D652E5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obtain </w:t>
      </w:r>
      <w:r w:rsidR="008E4FF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detailed understanding of the influence of </w:t>
      </w:r>
      <w:r>
        <w:rPr>
          <w:i/>
          <w:sz w:val="24"/>
          <w:szCs w:val="24"/>
        </w:rPr>
        <w:t>N</w:t>
      </w:r>
      <w:r w:rsidR="008E4FFD">
        <w:rPr>
          <w:sz w:val="24"/>
          <w:szCs w:val="24"/>
        </w:rPr>
        <w:t>-</w:t>
      </w:r>
      <w:bookmarkStart w:id="0" w:name="_GoBack"/>
      <w:r w:rsidR="008E4FFD">
        <w:rPr>
          <w:sz w:val="24"/>
          <w:szCs w:val="24"/>
        </w:rPr>
        <w:t>glyco</w:t>
      </w:r>
      <w:bookmarkEnd w:id="0"/>
      <w:r>
        <w:rPr>
          <w:sz w:val="24"/>
          <w:szCs w:val="24"/>
        </w:rPr>
        <w:t>s</w:t>
      </w:r>
      <w:r w:rsidR="008E4FFD">
        <w:rPr>
          <w:sz w:val="24"/>
          <w:szCs w:val="24"/>
        </w:rPr>
        <w:t>yl</w:t>
      </w:r>
      <w:r>
        <w:rPr>
          <w:sz w:val="24"/>
          <w:szCs w:val="24"/>
        </w:rPr>
        <w:t xml:space="preserve">ation on HRP and sHRP, we performed a series of molecular dynamics (MD) simulations with and without </w:t>
      </w:r>
      <w:r>
        <w:rPr>
          <w:i/>
          <w:sz w:val="24"/>
          <w:szCs w:val="24"/>
        </w:rPr>
        <w:t>N</w:t>
      </w:r>
      <w:r w:rsidR="008E4FFD">
        <w:rPr>
          <w:sz w:val="24"/>
          <w:szCs w:val="24"/>
        </w:rPr>
        <w:t>-glyco</w:t>
      </w:r>
      <w:r>
        <w:rPr>
          <w:sz w:val="24"/>
          <w:szCs w:val="24"/>
        </w:rPr>
        <w:t>s</w:t>
      </w:r>
      <w:r w:rsidR="008E4FFD">
        <w:rPr>
          <w:sz w:val="24"/>
          <w:szCs w:val="24"/>
        </w:rPr>
        <w:t>yl</w:t>
      </w:r>
      <w:r w:rsidR="003F06D7">
        <w:rPr>
          <w:sz w:val="24"/>
          <w:szCs w:val="24"/>
        </w:rPr>
        <w:t>ation on</w:t>
      </w:r>
      <w:r>
        <w:rPr>
          <w:sz w:val="24"/>
          <w:szCs w:val="24"/>
        </w:rPr>
        <w:t xml:space="preserve"> HRP and sHRP. Thereby we also considered three previously elucidated glycoforms of both proteins [2]. In this respect, we find that the conformations of both HRP and sHRP are stabilized when </w:t>
      </w:r>
      <w:r>
        <w:rPr>
          <w:i/>
          <w:sz w:val="24"/>
          <w:szCs w:val="24"/>
        </w:rPr>
        <w:t>N</w:t>
      </w:r>
      <w:r w:rsidR="008E4FFD">
        <w:rPr>
          <w:sz w:val="24"/>
          <w:szCs w:val="24"/>
        </w:rPr>
        <w:t>-glyco</w:t>
      </w:r>
      <w:r>
        <w:rPr>
          <w:sz w:val="24"/>
          <w:szCs w:val="24"/>
        </w:rPr>
        <w:t>s</w:t>
      </w:r>
      <w:r w:rsidR="008E4FFD">
        <w:rPr>
          <w:sz w:val="24"/>
          <w:szCs w:val="24"/>
        </w:rPr>
        <w:t>yl</w:t>
      </w:r>
      <w:r>
        <w:rPr>
          <w:sz w:val="24"/>
          <w:szCs w:val="24"/>
        </w:rPr>
        <w:t xml:space="preserve">ation is introduced, with no significant difference between different glycoforms. Nevertheless, we find that the most stable glycoform matches with the highest degree of </w:t>
      </w:r>
      <w:r>
        <w:rPr>
          <w:i/>
          <w:sz w:val="24"/>
          <w:szCs w:val="24"/>
        </w:rPr>
        <w:t>N</w:t>
      </w:r>
      <w:r w:rsidR="008E4FFD">
        <w:rPr>
          <w:sz w:val="24"/>
          <w:szCs w:val="24"/>
        </w:rPr>
        <w:t>-glyco</w:t>
      </w:r>
      <w:r>
        <w:rPr>
          <w:sz w:val="24"/>
          <w:szCs w:val="24"/>
        </w:rPr>
        <w:t>s</w:t>
      </w:r>
      <w:r w:rsidR="008E4FFD">
        <w:rPr>
          <w:sz w:val="24"/>
          <w:szCs w:val="24"/>
        </w:rPr>
        <w:t>yl</w:t>
      </w:r>
      <w:r>
        <w:rPr>
          <w:sz w:val="24"/>
          <w:szCs w:val="24"/>
        </w:rPr>
        <w:t>ation. The obtained results suggest that glycans protect specific parts of the protein surface of both investigated forms of protein. T</w:t>
      </w:r>
      <w:r w:rsidR="008E4FFD">
        <w:rPr>
          <w:sz w:val="24"/>
          <w:szCs w:val="24"/>
        </w:rPr>
        <w:t>his finding implies that glyco</w:t>
      </w:r>
      <w:r>
        <w:rPr>
          <w:sz w:val="24"/>
          <w:szCs w:val="24"/>
        </w:rPr>
        <w:t>s</w:t>
      </w:r>
      <w:r w:rsidR="008E4FFD">
        <w:rPr>
          <w:sz w:val="24"/>
          <w:szCs w:val="24"/>
        </w:rPr>
        <w:t>yl</w:t>
      </w:r>
      <w:r>
        <w:rPr>
          <w:sz w:val="24"/>
          <w:szCs w:val="24"/>
        </w:rPr>
        <w:t xml:space="preserve">ation represents an important feature </w:t>
      </w:r>
      <w:r w:rsidR="003F06D7">
        <w:rPr>
          <w:sz w:val="24"/>
          <w:szCs w:val="24"/>
        </w:rPr>
        <w:t>for</w:t>
      </w:r>
      <w:r>
        <w:rPr>
          <w:sz w:val="24"/>
          <w:szCs w:val="24"/>
        </w:rPr>
        <w:t xml:space="preserve"> horseradish peroxide protein stability and its function, being in agreement with pr</w:t>
      </w:r>
      <w:r w:rsidR="008E4FFD">
        <w:rPr>
          <w:sz w:val="24"/>
          <w:szCs w:val="24"/>
        </w:rPr>
        <w:t>evious studies regarding glyco</w:t>
      </w:r>
      <w:r>
        <w:rPr>
          <w:sz w:val="24"/>
          <w:szCs w:val="24"/>
        </w:rPr>
        <w:t>s</w:t>
      </w:r>
      <w:r w:rsidR="008E4FFD">
        <w:rPr>
          <w:sz w:val="24"/>
          <w:szCs w:val="24"/>
        </w:rPr>
        <w:t>yl</w:t>
      </w:r>
      <w:r>
        <w:rPr>
          <w:sz w:val="24"/>
          <w:szCs w:val="24"/>
        </w:rPr>
        <w:t>ation effects [3].</w:t>
      </w:r>
    </w:p>
    <w:p w14:paraId="00000008" w14:textId="77777777" w:rsidR="004F3EF6" w:rsidRDefault="004F3EF6">
      <w:pPr>
        <w:spacing w:after="120" w:line="276" w:lineRule="auto"/>
        <w:jc w:val="both"/>
        <w:rPr>
          <w:sz w:val="24"/>
          <w:szCs w:val="24"/>
        </w:rPr>
      </w:pPr>
    </w:p>
    <w:p w14:paraId="00000009" w14:textId="29584FE6" w:rsidR="004F3EF6" w:rsidRDefault="00D652E5">
      <w:pPr>
        <w:spacing w:after="120" w:line="276" w:lineRule="auto"/>
      </w:pPr>
      <w:r>
        <w:rPr>
          <w:b/>
        </w:rPr>
        <w:t>ACKNOWLEDGEMENTS:</w:t>
      </w:r>
      <w:r>
        <w:t xml:space="preserve"> MARILIA - European Union’s Horizon 2020 research and innovation program under grant agreement No 952110.</w:t>
      </w:r>
    </w:p>
    <w:p w14:paraId="0000000A" w14:textId="77777777" w:rsidR="004F3EF6" w:rsidRDefault="004F3EF6">
      <w:pPr>
        <w:spacing w:after="120" w:line="276" w:lineRule="auto"/>
        <w:rPr>
          <w:b/>
        </w:rPr>
      </w:pPr>
    </w:p>
    <w:p w14:paraId="0000000B" w14:textId="77777777" w:rsidR="004F3EF6" w:rsidRDefault="00D652E5">
      <w:pPr>
        <w:spacing w:after="120" w:line="276" w:lineRule="auto"/>
        <w:rPr>
          <w:b/>
        </w:rPr>
      </w:pPr>
      <w:r>
        <w:rPr>
          <w:b/>
        </w:rPr>
        <w:t>REFERENCES:</w:t>
      </w:r>
    </w:p>
    <w:p w14:paraId="0000000C" w14:textId="77777777" w:rsidR="004F3EF6" w:rsidRDefault="00D652E5">
      <w:pPr>
        <w:spacing w:after="120" w:line="276" w:lineRule="auto"/>
      </w:pPr>
      <w:r>
        <w:t xml:space="preserve">[1] J. D. Martell, M. Yamagata, T. J. Deerinck, S. Phan, C. G. Kwa, M. H. Ellisman, J. R. Sanes, and A. Y. Ting, </w:t>
      </w:r>
      <w:r>
        <w:rPr>
          <w:i/>
        </w:rPr>
        <w:t>Nat. Biotechnol.</w:t>
      </w:r>
      <w:r>
        <w:t xml:space="preserve"> </w:t>
      </w:r>
      <w:r>
        <w:rPr>
          <w:b/>
        </w:rPr>
        <w:t>2016</w:t>
      </w:r>
      <w:r>
        <w:t xml:space="preserve">, </w:t>
      </w:r>
      <w:r>
        <w:rPr>
          <w:i/>
        </w:rPr>
        <w:t>34</w:t>
      </w:r>
      <w:r>
        <w:t>, 774–780.</w:t>
      </w:r>
    </w:p>
    <w:p w14:paraId="0000000D" w14:textId="5C892323" w:rsidR="004F3EF6" w:rsidRDefault="00D652E5">
      <w:pPr>
        <w:spacing w:after="120" w:line="276" w:lineRule="auto"/>
      </w:pPr>
      <w:r>
        <w:t>[2] F. W. Krainer, C. Gmeiner, L. Neutsch, M. Windwarder, R. Pletzenauer, C. Herwig, F. Altmann, A. Glieder, and O. Spadiut,</w:t>
      </w:r>
      <w:r w:rsidR="008C40E7">
        <w:t xml:space="preserve"> </w:t>
      </w:r>
      <w:r w:rsidR="008C40E7" w:rsidRPr="008C40E7">
        <w:rPr>
          <w:i/>
        </w:rPr>
        <w:t>Sci Rep.</w:t>
      </w:r>
      <w:r>
        <w:t xml:space="preserve"> </w:t>
      </w:r>
      <w:r w:rsidRPr="008C40E7">
        <w:rPr>
          <w:b/>
        </w:rPr>
        <w:t>2013</w:t>
      </w:r>
      <w:r w:rsidR="008C40E7" w:rsidRPr="008C40E7">
        <w:t xml:space="preserve">, </w:t>
      </w:r>
      <w:r w:rsidR="008C40E7" w:rsidRPr="008C40E7">
        <w:rPr>
          <w:i/>
        </w:rPr>
        <w:t>3</w:t>
      </w:r>
      <w:r w:rsidR="008C40E7" w:rsidRPr="008C40E7">
        <w:t xml:space="preserve">, </w:t>
      </w:r>
      <w:r w:rsidR="008C40E7">
        <w:t>3279</w:t>
      </w:r>
      <w:r>
        <w:t>.</w:t>
      </w:r>
    </w:p>
    <w:p w14:paraId="0000000E" w14:textId="779F1538" w:rsidR="004F3EF6" w:rsidRDefault="00D652E5">
      <w:pPr>
        <w:spacing w:after="120" w:line="276" w:lineRule="auto"/>
      </w:pPr>
      <w:r>
        <w:t xml:space="preserve">[3] K. W. Moremen, M. Tiemeyer, and A. V. Nairn, </w:t>
      </w:r>
      <w:r>
        <w:rPr>
          <w:i/>
        </w:rPr>
        <w:t>Nat. Rev. Mol. Cell Biol.</w:t>
      </w:r>
      <w:r>
        <w:rPr>
          <w:b/>
        </w:rPr>
        <w:t xml:space="preserve"> 2012</w:t>
      </w:r>
      <w:r>
        <w:t>,</w:t>
      </w:r>
      <w:r>
        <w:rPr>
          <w:i/>
        </w:rPr>
        <w:t xml:space="preserve"> 13</w:t>
      </w:r>
      <w:r>
        <w:t>, 448–462.</w:t>
      </w:r>
    </w:p>
    <w:sectPr w:rsidR="004F3EF6">
      <w:pgSz w:w="11906" w:h="16838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F6"/>
    <w:rsid w:val="0013364D"/>
    <w:rsid w:val="00153EF3"/>
    <w:rsid w:val="00191A1D"/>
    <w:rsid w:val="003F06D7"/>
    <w:rsid w:val="004F3EF6"/>
    <w:rsid w:val="005872B3"/>
    <w:rsid w:val="008C40E7"/>
    <w:rsid w:val="008E4FFD"/>
    <w:rsid w:val="00D652E5"/>
    <w:rsid w:val="00F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680FA"/>
  <w15:docId w15:val="{FB8757EA-E6CB-4E1E-83BE-C5FC9682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5B9BD5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5B9BD5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1E4D78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33F4F"/>
      <w:sz w:val="52"/>
      <w:szCs w:val="52"/>
    </w:rPr>
  </w:style>
  <w:style w:type="paragraph" w:styleId="Subtitle">
    <w:name w:val="Subtitle"/>
    <w:basedOn w:val="Normal"/>
    <w:next w:val="Normal"/>
    <w:rPr>
      <w:i/>
      <w:color w:val="5B9BD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3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ABF9-EC41-405E-A5ED-5005F2CC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Bertoša</dc:creator>
  <cp:lastModifiedBy>Sanja</cp:lastModifiedBy>
  <cp:revision>2</cp:revision>
  <dcterms:created xsi:type="dcterms:W3CDTF">2021-08-14T22:13:00Z</dcterms:created>
  <dcterms:modified xsi:type="dcterms:W3CDTF">2021-08-14T22:13:00Z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https://csl.mendeley.com/styles/86968971/DrSc-PMF-KO</vt:lpwstr>
  </property>
  <property fmtid="{D5CDD505-2E9C-101B-9397-08002B2CF9AE}" pid="11" name="Mendeley Recent Style Name 4_1">
    <vt:lpwstr>DrSc-PMF-KO - Danijel Namjesnik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http://www.zotero.org/styles/multidisciplinary-digital-publishing-institute</vt:lpwstr>
  </property>
  <property fmtid="{D5CDD505-2E9C-101B-9397-08002B2CF9AE}" pid="17" name="Mendeley Recent Style Name 7_1">
    <vt:lpwstr>Multidisciplinary Digital Publishing Institute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http://www.zotero.org/styles/the-journal-of-physical-chemistry-b</vt:lpwstr>
  </property>
  <property fmtid="{D5CDD505-2E9C-101B-9397-08002B2CF9AE}" pid="21" name="Mendeley Recent Style Name 9_1">
    <vt:lpwstr>The Journal of Physical Chemistry B</vt:lpwstr>
  </property>
</Properties>
</file>