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4698" w14:textId="12740208" w:rsidR="00513B2D" w:rsidRPr="00503B00" w:rsidRDefault="00F500BF" w:rsidP="00513B2D">
      <w:pPr>
        <w:spacing w:after="120" w:line="276" w:lineRule="auto"/>
        <w:jc w:val="center"/>
        <w:rPr>
          <w:b/>
          <w:bCs/>
          <w:sz w:val="32"/>
          <w:lang w:val="en-US"/>
        </w:rPr>
      </w:pPr>
      <w:r>
        <w:rPr>
          <w:b/>
          <w:bCs/>
          <w:sz w:val="32"/>
          <w:lang w:val="en-US"/>
        </w:rPr>
        <w:t xml:space="preserve">COMPUTATIONAL STUDY OF THE HYPERGLYCOSYLATED HRP ENZYME </w:t>
      </w:r>
      <w:r w:rsidR="0044579A">
        <w:rPr>
          <w:b/>
          <w:bCs/>
          <w:sz w:val="32"/>
          <w:lang w:val="en-US"/>
        </w:rPr>
        <w:t>USED IN THE PATHOGEN DETECTION</w:t>
      </w:r>
    </w:p>
    <w:p w14:paraId="407F2C6E" w14:textId="2C3ABFC7" w:rsidR="00513B2D" w:rsidRPr="00503B00" w:rsidRDefault="00F500BF" w:rsidP="00513B2D">
      <w:pPr>
        <w:spacing w:after="120" w:line="276" w:lineRule="auto"/>
        <w:jc w:val="center"/>
        <w:rPr>
          <w:sz w:val="24"/>
          <w:lang w:val="en-US"/>
        </w:rPr>
      </w:pPr>
      <w:r>
        <w:rPr>
          <w:sz w:val="24"/>
          <w:u w:val="single"/>
          <w:lang w:val="en-US"/>
        </w:rPr>
        <w:t xml:space="preserve">Antun </w:t>
      </w:r>
      <w:proofErr w:type="spellStart"/>
      <w:proofErr w:type="gramStart"/>
      <w:r>
        <w:rPr>
          <w:sz w:val="24"/>
          <w:u w:val="single"/>
          <w:lang w:val="en-US"/>
        </w:rPr>
        <w:t>Barišić</w:t>
      </w:r>
      <w:r w:rsidR="00513B2D" w:rsidRPr="00503B00">
        <w:rPr>
          <w:sz w:val="24"/>
          <w:lang w:val="en-US"/>
        </w:rPr>
        <w:t>,</w:t>
      </w:r>
      <w:r w:rsidR="00513B2D" w:rsidRPr="00503B00">
        <w:rPr>
          <w:sz w:val="24"/>
          <w:vertAlign w:val="superscript"/>
          <w:lang w:val="en-US"/>
        </w:rPr>
        <w:t>a</w:t>
      </w:r>
      <w:proofErr w:type="spellEnd"/>
      <w:proofErr w:type="gramEnd"/>
      <w:r w:rsidR="00513B2D" w:rsidRPr="00503B00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Sanja </w:t>
      </w:r>
      <w:proofErr w:type="spellStart"/>
      <w:r>
        <w:rPr>
          <w:sz w:val="24"/>
          <w:lang w:val="en-US"/>
        </w:rPr>
        <w:t>Škulj</w:t>
      </w:r>
      <w:r w:rsidR="00513B2D" w:rsidRPr="00503B00">
        <w:rPr>
          <w:sz w:val="24"/>
          <w:lang w:val="en-US"/>
        </w:rPr>
        <w:t>,</w:t>
      </w:r>
      <w:r>
        <w:rPr>
          <w:sz w:val="24"/>
          <w:vertAlign w:val="superscript"/>
          <w:lang w:val="en-US"/>
        </w:rPr>
        <w:t>a</w:t>
      </w:r>
      <w:proofErr w:type="spellEnd"/>
      <w:r w:rsidR="00513B2D" w:rsidRPr="00503B00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Zoe </w:t>
      </w:r>
      <w:proofErr w:type="spellStart"/>
      <w:r>
        <w:rPr>
          <w:sz w:val="24"/>
          <w:lang w:val="en-US"/>
        </w:rPr>
        <w:t>Jelić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Matošević,</w:t>
      </w:r>
      <w:r w:rsidR="0044579A" w:rsidRPr="0044579A">
        <w:rPr>
          <w:sz w:val="24"/>
          <w:vertAlign w:val="superscript"/>
          <w:lang w:val="en-US"/>
        </w:rPr>
        <w:t>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Branimir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Bertoša</w:t>
      </w:r>
      <w:r w:rsidR="0044579A" w:rsidRPr="0044579A">
        <w:rPr>
          <w:sz w:val="24"/>
          <w:vertAlign w:val="superscript"/>
          <w:lang w:val="en-US"/>
        </w:rPr>
        <w:t>a</w:t>
      </w:r>
      <w:proofErr w:type="spellEnd"/>
      <w:r w:rsidR="0044579A" w:rsidRPr="00503B00">
        <w:rPr>
          <w:sz w:val="24"/>
          <w:lang w:val="en-US"/>
        </w:rPr>
        <w:t>*</w:t>
      </w:r>
    </w:p>
    <w:p w14:paraId="69D8516C" w14:textId="77777777" w:rsidR="00513B2D" w:rsidRPr="00503B00" w:rsidRDefault="00513B2D" w:rsidP="00513B2D">
      <w:pPr>
        <w:spacing w:after="120" w:line="276" w:lineRule="auto"/>
        <w:rPr>
          <w:lang w:val="en-US"/>
        </w:rPr>
      </w:pPr>
    </w:p>
    <w:p w14:paraId="2AB897CB" w14:textId="639217E3" w:rsidR="00513B2D" w:rsidRPr="00503B00" w:rsidRDefault="00513B2D" w:rsidP="00513B2D">
      <w:pPr>
        <w:tabs>
          <w:tab w:val="left" w:pos="170"/>
        </w:tabs>
        <w:spacing w:after="0" w:line="276" w:lineRule="auto"/>
        <w:rPr>
          <w:sz w:val="20"/>
          <w:lang w:val="en-US"/>
        </w:rPr>
      </w:pPr>
      <w:r w:rsidRPr="00503B00">
        <w:rPr>
          <w:sz w:val="20"/>
          <w:vertAlign w:val="superscript"/>
          <w:lang w:val="en-US"/>
        </w:rPr>
        <w:t>a</w:t>
      </w:r>
      <w:r w:rsidRPr="00503B00">
        <w:rPr>
          <w:sz w:val="20"/>
          <w:lang w:val="en-US"/>
        </w:rPr>
        <w:tab/>
        <w:t>Department</w:t>
      </w:r>
      <w:r w:rsidR="0044579A">
        <w:rPr>
          <w:sz w:val="20"/>
          <w:lang w:val="en-US"/>
        </w:rPr>
        <w:t xml:space="preserve"> of Physical Chemistry</w:t>
      </w:r>
      <w:r w:rsidRPr="00503B00">
        <w:rPr>
          <w:sz w:val="20"/>
          <w:lang w:val="en-US"/>
        </w:rPr>
        <w:t xml:space="preserve">, </w:t>
      </w:r>
      <w:r w:rsidR="0044579A">
        <w:rPr>
          <w:sz w:val="20"/>
          <w:lang w:val="en-US"/>
        </w:rPr>
        <w:t>Faculty of Science, University of Zagreb</w:t>
      </w:r>
      <w:r w:rsidRPr="00503B00">
        <w:rPr>
          <w:sz w:val="20"/>
          <w:lang w:val="en-US"/>
        </w:rPr>
        <w:t xml:space="preserve">, </w:t>
      </w:r>
      <w:proofErr w:type="spellStart"/>
      <w:r w:rsidR="0044579A">
        <w:rPr>
          <w:sz w:val="20"/>
          <w:lang w:val="en-US"/>
        </w:rPr>
        <w:t>Horvatovac</w:t>
      </w:r>
      <w:proofErr w:type="spellEnd"/>
      <w:r w:rsidR="0044579A">
        <w:rPr>
          <w:sz w:val="20"/>
          <w:lang w:val="en-US"/>
        </w:rPr>
        <w:t xml:space="preserve"> 102a</w:t>
      </w:r>
    </w:p>
    <w:p w14:paraId="5EC86B97" w14:textId="69D355EE" w:rsidR="00513B2D" w:rsidRPr="00503B00" w:rsidRDefault="00513B2D" w:rsidP="00513B2D">
      <w:pPr>
        <w:tabs>
          <w:tab w:val="left" w:pos="170"/>
        </w:tabs>
        <w:spacing w:after="0" w:line="276" w:lineRule="auto"/>
        <w:rPr>
          <w:sz w:val="20"/>
          <w:lang w:val="en-US"/>
        </w:rPr>
      </w:pPr>
      <w:r w:rsidRPr="00503B00">
        <w:rPr>
          <w:sz w:val="20"/>
          <w:lang w:val="en-US"/>
        </w:rPr>
        <w:t>*</w:t>
      </w:r>
      <w:r w:rsidRPr="00503B00">
        <w:rPr>
          <w:sz w:val="20"/>
          <w:lang w:val="en-US"/>
        </w:rPr>
        <w:tab/>
      </w:r>
      <w:r w:rsidR="0044579A">
        <w:rPr>
          <w:sz w:val="20"/>
          <w:lang w:val="en-US"/>
        </w:rPr>
        <w:t>branimir.bertosa@chem.pmf.hr</w:t>
      </w:r>
    </w:p>
    <w:p w14:paraId="49D45D37" w14:textId="77777777" w:rsidR="00513B2D" w:rsidRPr="00503B00" w:rsidRDefault="00513B2D" w:rsidP="00513B2D">
      <w:pPr>
        <w:spacing w:after="120" w:line="276" w:lineRule="auto"/>
        <w:rPr>
          <w:lang w:val="en-US"/>
        </w:rPr>
      </w:pPr>
    </w:p>
    <w:p w14:paraId="32A0F9E9" w14:textId="472E5E99" w:rsidR="002F64E9" w:rsidRDefault="00C53B45" w:rsidP="00D223A5">
      <w:pPr>
        <w:spacing w:after="120"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The m</w:t>
      </w:r>
      <w:r w:rsidR="001E27DB">
        <w:rPr>
          <w:sz w:val="24"/>
          <w:lang w:val="en-US"/>
        </w:rPr>
        <w:t>ain objective of the MARILIA project is to develop a novel pathogen detection concept for water samples. Powerful tool</w:t>
      </w:r>
      <w:r w:rsidR="0019284B">
        <w:rPr>
          <w:sz w:val="24"/>
          <w:lang w:val="en-US"/>
        </w:rPr>
        <w:t>s</w:t>
      </w:r>
      <w:r w:rsidR="001E27DB">
        <w:rPr>
          <w:sz w:val="24"/>
          <w:lang w:val="en-US"/>
        </w:rPr>
        <w:t xml:space="preserve"> for detecting protein-protein interactions (PPI)</w:t>
      </w:r>
      <w:r w:rsidR="00306D10">
        <w:rPr>
          <w:sz w:val="24"/>
          <w:lang w:val="en-US"/>
        </w:rPr>
        <w:t>, created between a pathogen and a protein</w:t>
      </w:r>
      <w:r w:rsidR="006F6CC5">
        <w:rPr>
          <w:sz w:val="24"/>
          <w:lang w:val="en-US"/>
        </w:rPr>
        <w:t xml:space="preserve"> detector</w:t>
      </w:r>
      <w:r w:rsidR="00306D10">
        <w:rPr>
          <w:sz w:val="24"/>
          <w:lang w:val="en-US"/>
        </w:rPr>
        <w:t>,</w:t>
      </w:r>
      <w:r w:rsidR="001E27DB">
        <w:rPr>
          <w:sz w:val="24"/>
          <w:lang w:val="en-US"/>
        </w:rPr>
        <w:t xml:space="preserve"> </w:t>
      </w:r>
      <w:r w:rsidR="0019284B">
        <w:rPr>
          <w:sz w:val="24"/>
          <w:lang w:val="en-US"/>
        </w:rPr>
        <w:t>can be developed by</w:t>
      </w:r>
      <w:r w:rsidR="001E27DB">
        <w:rPr>
          <w:sz w:val="24"/>
          <w:lang w:val="en-US"/>
        </w:rPr>
        <w:t xml:space="preserve"> us</w:t>
      </w:r>
      <w:r w:rsidR="0019284B">
        <w:rPr>
          <w:sz w:val="24"/>
          <w:lang w:val="en-US"/>
        </w:rPr>
        <w:t>ing</w:t>
      </w:r>
      <w:r w:rsidR="001E27DB">
        <w:rPr>
          <w:sz w:val="24"/>
          <w:lang w:val="en-US"/>
        </w:rPr>
        <w:t xml:space="preserve"> protein-fragment complementation assays (PCA) [1]</w:t>
      </w:r>
      <w:r w:rsidR="00306D10">
        <w:rPr>
          <w:sz w:val="24"/>
          <w:lang w:val="en-US"/>
        </w:rPr>
        <w:t>.</w:t>
      </w:r>
      <w:r w:rsidR="001E27DB">
        <w:rPr>
          <w:sz w:val="24"/>
          <w:lang w:val="en-US"/>
        </w:rPr>
        <w:t xml:space="preserve"> </w:t>
      </w:r>
      <w:r w:rsidR="00306D10">
        <w:rPr>
          <w:sz w:val="24"/>
          <w:lang w:val="en-US"/>
        </w:rPr>
        <w:t>A new type of PCA has been recently developed by Martell and associates</w:t>
      </w:r>
      <w:r w:rsidR="002F64E9">
        <w:rPr>
          <w:sz w:val="24"/>
          <w:lang w:val="en-US"/>
        </w:rPr>
        <w:t xml:space="preserve"> [2]</w:t>
      </w:r>
      <w:r w:rsidR="00306D10">
        <w:rPr>
          <w:sz w:val="24"/>
          <w:lang w:val="en-US"/>
        </w:rPr>
        <w:t xml:space="preserve"> based on the horseradish peroxidase (HRP)</w:t>
      </w:r>
      <w:r w:rsidR="002C1CCC">
        <w:rPr>
          <w:sz w:val="24"/>
          <w:lang w:val="en-US"/>
        </w:rPr>
        <w:t xml:space="preserve">. </w:t>
      </w:r>
      <w:r w:rsidR="000F3C1E" w:rsidRPr="000F3C1E">
        <w:rPr>
          <w:sz w:val="24"/>
          <w:lang w:val="en-US"/>
        </w:rPr>
        <w:t xml:space="preserve">The HRP enzyme PCA has numerous advantages over other similar PCA, such as: functioning in extracellular environments, generating spatially restricted fluorescent signal, etc. However, </w:t>
      </w:r>
      <w:proofErr w:type="spellStart"/>
      <w:r w:rsidR="000F3C1E" w:rsidRPr="000F3C1E">
        <w:rPr>
          <w:sz w:val="24"/>
          <w:lang w:val="en-US"/>
        </w:rPr>
        <w:t>hyperglycosylation</w:t>
      </w:r>
      <w:proofErr w:type="spellEnd"/>
      <w:r w:rsidR="000F3C1E" w:rsidRPr="000F3C1E">
        <w:rPr>
          <w:sz w:val="24"/>
          <w:lang w:val="en-US"/>
        </w:rPr>
        <w:t xml:space="preserve"> can present a significant hurdle when expressing recombinant HRP in yeast cells</w:t>
      </w:r>
      <w:r w:rsidR="002F64E9">
        <w:rPr>
          <w:sz w:val="24"/>
          <w:lang w:val="en-US"/>
        </w:rPr>
        <w:t xml:space="preserve"> [3]</w:t>
      </w:r>
      <w:r w:rsidR="00D223A5">
        <w:rPr>
          <w:sz w:val="24"/>
          <w:lang w:val="en-US"/>
        </w:rPr>
        <w:t>.</w:t>
      </w:r>
      <w:r w:rsidR="000F3C1E">
        <w:rPr>
          <w:sz w:val="24"/>
          <w:lang w:val="en-US"/>
        </w:rPr>
        <w:t xml:space="preserve"> </w:t>
      </w:r>
    </w:p>
    <w:p w14:paraId="5C0AF73D" w14:textId="3D806DA6" w:rsidR="002C1CCC" w:rsidRDefault="000F3C1E" w:rsidP="00E50890">
      <w:pPr>
        <w:spacing w:after="120"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Using the Molecular Dynamics (MD) simulations we have studied the effect of glycans on the availability of the surface groups, including the HIS-tag groups needed for the purification</w:t>
      </w:r>
      <w:r w:rsidR="00134C35">
        <w:rPr>
          <w:sz w:val="24"/>
          <w:lang w:val="en-US"/>
        </w:rPr>
        <w:t xml:space="preserve"> process</w:t>
      </w:r>
      <w:r>
        <w:rPr>
          <w:sz w:val="24"/>
          <w:lang w:val="en-US"/>
        </w:rPr>
        <w:t xml:space="preserve">. </w:t>
      </w:r>
      <w:r w:rsidR="002C1CCC">
        <w:rPr>
          <w:sz w:val="24"/>
          <w:lang w:val="en-US"/>
        </w:rPr>
        <w:t>T</w:t>
      </w:r>
      <w:r w:rsidR="00054C9B">
        <w:rPr>
          <w:sz w:val="24"/>
          <w:lang w:val="en-US"/>
        </w:rPr>
        <w:t xml:space="preserve">he results of the simulations show strong influence of the glycan on the </w:t>
      </w:r>
      <w:r w:rsidR="002C1CCC">
        <w:rPr>
          <w:sz w:val="24"/>
          <w:lang w:val="en-US"/>
        </w:rPr>
        <w:t xml:space="preserve">overall </w:t>
      </w:r>
      <w:r w:rsidR="00054C9B">
        <w:rPr>
          <w:sz w:val="24"/>
          <w:lang w:val="en-US"/>
        </w:rPr>
        <w:t>stability of the HRP enzyme</w:t>
      </w:r>
      <w:r w:rsidR="00C53B45">
        <w:rPr>
          <w:sz w:val="24"/>
          <w:lang w:val="en-US"/>
        </w:rPr>
        <w:t>,</w:t>
      </w:r>
      <w:r w:rsidR="002C1CCC">
        <w:rPr>
          <w:sz w:val="24"/>
          <w:lang w:val="en-US"/>
        </w:rPr>
        <w:t xml:space="preserve"> but also indicate some critical drawbacks in availability of the surface groups.</w:t>
      </w:r>
      <w:r w:rsidR="00054C9B">
        <w:rPr>
          <w:sz w:val="24"/>
          <w:lang w:val="en-US"/>
        </w:rPr>
        <w:t xml:space="preserve"> Different forms of the HRP enzyme, that are used </w:t>
      </w:r>
      <w:r w:rsidR="002C1CCC">
        <w:rPr>
          <w:sz w:val="24"/>
          <w:lang w:val="en-US"/>
        </w:rPr>
        <w:t>in the</w:t>
      </w:r>
      <w:r w:rsidR="00054C9B">
        <w:rPr>
          <w:sz w:val="24"/>
          <w:lang w:val="en-US"/>
        </w:rPr>
        <w:t xml:space="preserve"> </w:t>
      </w:r>
      <w:r w:rsidR="0019284B">
        <w:rPr>
          <w:sz w:val="24"/>
          <w:lang w:val="en-US"/>
        </w:rPr>
        <w:t xml:space="preserve">HRP </w:t>
      </w:r>
      <w:r w:rsidR="00054C9B">
        <w:rPr>
          <w:sz w:val="24"/>
          <w:lang w:val="en-US"/>
        </w:rPr>
        <w:t>PCA, have also been simulated.</w:t>
      </w:r>
    </w:p>
    <w:p w14:paraId="41A45C79" w14:textId="00B1FF83" w:rsidR="00E50890" w:rsidRPr="00503B00" w:rsidRDefault="002F64E9" w:rsidP="00E50890">
      <w:pPr>
        <w:spacing w:after="120" w:line="276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>Additionally</w:t>
      </w:r>
      <w:r w:rsidR="00E50890">
        <w:rPr>
          <w:sz w:val="24"/>
          <w:lang w:val="en-US"/>
        </w:rPr>
        <w:t>,</w:t>
      </w:r>
      <w:r w:rsidR="00C53B45">
        <w:rPr>
          <w:sz w:val="24"/>
          <w:lang w:val="en-US"/>
        </w:rPr>
        <w:t xml:space="preserve"> the</w:t>
      </w:r>
      <w:r>
        <w:rPr>
          <w:sz w:val="24"/>
          <w:lang w:val="en-US"/>
        </w:rPr>
        <w:t xml:space="preserve"> </w:t>
      </w:r>
      <w:r w:rsidR="00E50890">
        <w:rPr>
          <w:sz w:val="24"/>
          <w:lang w:val="en-US"/>
        </w:rPr>
        <w:t>influence of the mutations introduced by Martell and associates was also studied by MD simulations</w:t>
      </w:r>
      <w:r w:rsidR="002C1CCC">
        <w:rPr>
          <w:sz w:val="24"/>
          <w:lang w:val="en-US"/>
        </w:rPr>
        <w:t xml:space="preserve">. We have identified key mutations that cause significant structural changes in the HRP </w:t>
      </w:r>
      <w:r w:rsidR="00C53B45">
        <w:rPr>
          <w:sz w:val="24"/>
          <w:lang w:val="en-US"/>
        </w:rPr>
        <w:t>enzyme</w:t>
      </w:r>
      <w:r w:rsidR="000F3C1E">
        <w:rPr>
          <w:sz w:val="24"/>
          <w:lang w:val="en-US"/>
        </w:rPr>
        <w:t>.</w:t>
      </w:r>
    </w:p>
    <w:p w14:paraId="0E1EC59C" w14:textId="4088AD94" w:rsidR="00086F2C" w:rsidRPr="00503B00" w:rsidRDefault="00086F2C" w:rsidP="00513B2D">
      <w:pPr>
        <w:spacing w:after="120" w:line="276" w:lineRule="auto"/>
        <w:rPr>
          <w:sz w:val="24"/>
          <w:lang w:val="en-US"/>
        </w:rPr>
      </w:pPr>
    </w:p>
    <w:p w14:paraId="4D8FB15C" w14:textId="35E4A7F0" w:rsidR="00513B2D" w:rsidRDefault="00086F2C" w:rsidP="00513B2D">
      <w:pPr>
        <w:spacing w:after="120" w:line="276" w:lineRule="auto"/>
        <w:rPr>
          <w:lang w:val="en-US"/>
        </w:rPr>
      </w:pPr>
      <w:r w:rsidRPr="00086F2C">
        <w:rPr>
          <w:b/>
          <w:lang w:val="en-US"/>
        </w:rPr>
        <w:t>ACKNOWLEDG</w:t>
      </w:r>
      <w:r>
        <w:rPr>
          <w:b/>
          <w:lang w:val="en-US"/>
        </w:rPr>
        <w:t>E</w:t>
      </w:r>
      <w:r w:rsidRPr="00086F2C">
        <w:rPr>
          <w:b/>
          <w:lang w:val="en-US"/>
        </w:rPr>
        <w:t>MENTS</w:t>
      </w:r>
      <w:r>
        <w:rPr>
          <w:b/>
          <w:lang w:val="en-US"/>
        </w:rPr>
        <w:t>:</w:t>
      </w:r>
      <w:r>
        <w:rPr>
          <w:lang w:val="en-US"/>
        </w:rPr>
        <w:t xml:space="preserve"> </w:t>
      </w:r>
      <w:r w:rsidR="0044579A">
        <w:rPr>
          <w:lang w:val="en-US"/>
        </w:rPr>
        <w:t xml:space="preserve">This research was supported </w:t>
      </w:r>
      <w:r w:rsidR="009C1DF8">
        <w:rPr>
          <w:lang w:val="en-US"/>
        </w:rPr>
        <w:t xml:space="preserve">by the </w:t>
      </w:r>
      <w:r w:rsidR="009C1DF8" w:rsidRPr="0044579A">
        <w:rPr>
          <w:lang w:val="en-US"/>
        </w:rPr>
        <w:t xml:space="preserve">European Union’s Horizon 2020 research and innovation </w:t>
      </w:r>
      <w:proofErr w:type="spellStart"/>
      <w:r w:rsidR="009C1DF8" w:rsidRPr="0044579A">
        <w:rPr>
          <w:lang w:val="en-US"/>
        </w:rPr>
        <w:t>programme</w:t>
      </w:r>
      <w:proofErr w:type="spellEnd"/>
      <w:r w:rsidR="009C1DF8" w:rsidRPr="0044579A">
        <w:rPr>
          <w:lang w:val="en-US"/>
        </w:rPr>
        <w:t xml:space="preserve"> under grant agreement No 952110</w:t>
      </w:r>
    </w:p>
    <w:p w14:paraId="1C93FF66" w14:textId="77777777" w:rsidR="00086F2C" w:rsidRDefault="00086F2C" w:rsidP="00513B2D">
      <w:pPr>
        <w:spacing w:after="120" w:line="276" w:lineRule="auto"/>
        <w:rPr>
          <w:b/>
          <w:lang w:val="en-US"/>
        </w:rPr>
      </w:pPr>
    </w:p>
    <w:p w14:paraId="74B9B1E3" w14:textId="77777777" w:rsidR="00086F2C" w:rsidRPr="00086F2C" w:rsidRDefault="00086F2C" w:rsidP="00513B2D">
      <w:pPr>
        <w:spacing w:after="120" w:line="276" w:lineRule="auto"/>
        <w:rPr>
          <w:b/>
          <w:lang w:val="en-US"/>
        </w:rPr>
      </w:pPr>
      <w:r w:rsidRPr="00086F2C">
        <w:rPr>
          <w:b/>
          <w:lang w:val="en-US"/>
        </w:rPr>
        <w:t>REFERENCES</w:t>
      </w:r>
    </w:p>
    <w:p w14:paraId="12EA3665" w14:textId="12FE19EF" w:rsidR="00513B2D" w:rsidRPr="00503B00" w:rsidRDefault="00513B2D" w:rsidP="00513B2D">
      <w:pPr>
        <w:spacing w:after="120" w:line="276" w:lineRule="auto"/>
        <w:rPr>
          <w:lang w:val="en-US"/>
        </w:rPr>
      </w:pPr>
      <w:r w:rsidRPr="00503B00">
        <w:rPr>
          <w:lang w:val="en-US"/>
        </w:rPr>
        <w:t xml:space="preserve">[1] </w:t>
      </w:r>
      <w:r w:rsidR="001E27DB">
        <w:rPr>
          <w:lang w:val="en-US"/>
        </w:rPr>
        <w:t>S.W</w:t>
      </w:r>
      <w:r w:rsidR="00E12740">
        <w:rPr>
          <w:lang w:val="en-US"/>
        </w:rPr>
        <w:t xml:space="preserve">. </w:t>
      </w:r>
      <w:proofErr w:type="spellStart"/>
      <w:r w:rsidR="00E12740" w:rsidRPr="001E27DB">
        <w:rPr>
          <w:lang w:val="en-US"/>
        </w:rPr>
        <w:t>Michnick</w:t>
      </w:r>
      <w:proofErr w:type="spellEnd"/>
      <w:r w:rsidR="00E12740">
        <w:rPr>
          <w:lang w:val="en-US"/>
        </w:rPr>
        <w:t xml:space="preserve">, P.H. Ear, E.N. </w:t>
      </w:r>
      <w:r w:rsidR="00E12740" w:rsidRPr="001E27DB">
        <w:rPr>
          <w:lang w:val="en-US"/>
        </w:rPr>
        <w:t>Manderson</w:t>
      </w:r>
      <w:r w:rsidR="00E12740">
        <w:rPr>
          <w:lang w:val="en-US"/>
        </w:rPr>
        <w:t>, I. Remy, E. Stefan</w:t>
      </w:r>
      <w:r w:rsidRPr="00503B00">
        <w:rPr>
          <w:lang w:val="en-US"/>
        </w:rPr>
        <w:t xml:space="preserve">, </w:t>
      </w:r>
      <w:r w:rsidR="00E12740">
        <w:rPr>
          <w:i/>
          <w:iCs/>
          <w:lang w:val="en-US"/>
        </w:rPr>
        <w:t xml:space="preserve">Nat. Rev. Drug </w:t>
      </w:r>
      <w:proofErr w:type="spellStart"/>
      <w:r w:rsidR="00E12740">
        <w:rPr>
          <w:i/>
          <w:iCs/>
          <w:lang w:val="en-US"/>
        </w:rPr>
        <w:t>Discov</w:t>
      </w:r>
      <w:proofErr w:type="spellEnd"/>
      <w:r w:rsidR="00E12740">
        <w:rPr>
          <w:i/>
          <w:iCs/>
          <w:lang w:val="en-US"/>
        </w:rPr>
        <w:t>.</w:t>
      </w:r>
      <w:r w:rsidR="00E12740">
        <w:rPr>
          <w:lang w:val="en-US"/>
        </w:rPr>
        <w:t xml:space="preserve"> </w:t>
      </w:r>
      <w:r w:rsidR="00E12740" w:rsidRPr="00E12740">
        <w:rPr>
          <w:lang w:val="en-US"/>
        </w:rPr>
        <w:t>2007</w:t>
      </w:r>
      <w:r w:rsidR="00E12740">
        <w:rPr>
          <w:lang w:val="en-US"/>
        </w:rPr>
        <w:t>, 6, 569–582</w:t>
      </w:r>
      <w:r w:rsidRPr="00503B00">
        <w:rPr>
          <w:lang w:val="en-US"/>
        </w:rPr>
        <w:t>.</w:t>
      </w:r>
    </w:p>
    <w:p w14:paraId="3E358DF1" w14:textId="28A5E6C6" w:rsidR="00513B2D" w:rsidRDefault="00513B2D" w:rsidP="00513B2D">
      <w:pPr>
        <w:spacing w:after="120" w:line="276" w:lineRule="auto"/>
        <w:rPr>
          <w:lang w:val="en-US"/>
        </w:rPr>
      </w:pPr>
      <w:r w:rsidRPr="00503B00">
        <w:rPr>
          <w:lang w:val="en-US"/>
        </w:rPr>
        <w:t xml:space="preserve">[2] </w:t>
      </w:r>
      <w:r w:rsidR="00306D10">
        <w:rPr>
          <w:lang w:val="en-US"/>
        </w:rPr>
        <w:t xml:space="preserve">J.D. Martell, M. Yamagata, T.J. </w:t>
      </w:r>
      <w:proofErr w:type="spellStart"/>
      <w:r w:rsidR="00306D10">
        <w:rPr>
          <w:lang w:val="en-US"/>
        </w:rPr>
        <w:t>Deerinck</w:t>
      </w:r>
      <w:proofErr w:type="spellEnd"/>
      <w:r w:rsidR="00306D10">
        <w:rPr>
          <w:lang w:val="en-US"/>
        </w:rPr>
        <w:t xml:space="preserve">, S. Phan, C.G. Kwa, M.H. </w:t>
      </w:r>
      <w:proofErr w:type="spellStart"/>
      <w:r w:rsidR="00306D10">
        <w:rPr>
          <w:lang w:val="en-US"/>
        </w:rPr>
        <w:t>Ellisman</w:t>
      </w:r>
      <w:proofErr w:type="spellEnd"/>
      <w:r w:rsidR="00306D10">
        <w:rPr>
          <w:lang w:val="en-US"/>
        </w:rPr>
        <w:t xml:space="preserve">, J.R. </w:t>
      </w:r>
      <w:proofErr w:type="spellStart"/>
      <w:r w:rsidR="00306D10">
        <w:rPr>
          <w:lang w:val="en-US"/>
        </w:rPr>
        <w:t>Sanes</w:t>
      </w:r>
      <w:proofErr w:type="spellEnd"/>
      <w:r w:rsidR="00306D10">
        <w:rPr>
          <w:lang w:val="en-US"/>
        </w:rPr>
        <w:t xml:space="preserve">, A.Y. Ting, </w:t>
      </w:r>
      <w:r w:rsidR="00306D10">
        <w:rPr>
          <w:i/>
          <w:iCs/>
          <w:lang w:val="en-US"/>
        </w:rPr>
        <w:t xml:space="preserve">Nat </w:t>
      </w:r>
      <w:proofErr w:type="spellStart"/>
      <w:r w:rsidR="00306D10">
        <w:rPr>
          <w:i/>
          <w:iCs/>
          <w:lang w:val="en-US"/>
        </w:rPr>
        <w:t>Biotechnol</w:t>
      </w:r>
      <w:proofErr w:type="spellEnd"/>
      <w:r w:rsidR="00306D10">
        <w:rPr>
          <w:lang w:val="en-US"/>
        </w:rPr>
        <w:t xml:space="preserve"> </w:t>
      </w:r>
      <w:r w:rsidR="00306D10">
        <w:rPr>
          <w:b/>
          <w:bCs/>
          <w:lang w:val="en-US"/>
        </w:rPr>
        <w:t>2016</w:t>
      </w:r>
      <w:r w:rsidR="00AD3EBB">
        <w:rPr>
          <w:lang w:val="en-US"/>
        </w:rPr>
        <w:t>, 34, 774–780</w:t>
      </w:r>
      <w:r w:rsidRPr="00503B00">
        <w:rPr>
          <w:lang w:val="en-US"/>
        </w:rPr>
        <w:t>.</w:t>
      </w:r>
    </w:p>
    <w:p w14:paraId="4290923A" w14:textId="2A455CFB" w:rsidR="001E27DB" w:rsidRPr="00503B00" w:rsidRDefault="002F64E9" w:rsidP="00306D10">
      <w:pPr>
        <w:spacing w:after="120" w:line="276" w:lineRule="auto"/>
        <w:rPr>
          <w:lang w:val="en-US"/>
        </w:rPr>
      </w:pPr>
      <w:r>
        <w:rPr>
          <w:lang w:val="en-US"/>
        </w:rPr>
        <w:t xml:space="preserve">[3] S. Capone, R. </w:t>
      </w:r>
      <w:proofErr w:type="spellStart"/>
      <w:r w:rsidRPr="002F64E9">
        <w:rPr>
          <w:lang w:val="en-US"/>
        </w:rPr>
        <w:t>Pletzenauer</w:t>
      </w:r>
      <w:proofErr w:type="spellEnd"/>
      <w:r>
        <w:rPr>
          <w:lang w:val="en-US"/>
        </w:rPr>
        <w:t xml:space="preserve">, D. </w:t>
      </w:r>
      <w:r w:rsidRPr="002F64E9">
        <w:rPr>
          <w:lang w:val="en-US"/>
        </w:rPr>
        <w:t>Maresch</w:t>
      </w:r>
      <w:r>
        <w:rPr>
          <w:lang w:val="en-US"/>
        </w:rPr>
        <w:t xml:space="preserve">, K. </w:t>
      </w:r>
      <w:r w:rsidRPr="002F64E9">
        <w:rPr>
          <w:lang w:val="en-US"/>
        </w:rPr>
        <w:t>Metzger</w:t>
      </w:r>
      <w:r>
        <w:rPr>
          <w:lang w:val="en-US"/>
        </w:rPr>
        <w:t xml:space="preserve">, F. </w:t>
      </w:r>
      <w:r w:rsidRPr="002F64E9">
        <w:rPr>
          <w:lang w:val="en-US"/>
        </w:rPr>
        <w:t>Altmann</w:t>
      </w:r>
      <w:r>
        <w:rPr>
          <w:lang w:val="en-US"/>
        </w:rPr>
        <w:t xml:space="preserve">, C. </w:t>
      </w:r>
      <w:r w:rsidRPr="002F64E9">
        <w:rPr>
          <w:lang w:val="en-US"/>
        </w:rPr>
        <w:t>Herwig</w:t>
      </w:r>
      <w:r>
        <w:rPr>
          <w:lang w:val="en-US"/>
        </w:rPr>
        <w:t xml:space="preserve">, O. </w:t>
      </w:r>
      <w:proofErr w:type="spellStart"/>
      <w:r w:rsidRPr="002F64E9">
        <w:rPr>
          <w:lang w:val="en-US"/>
        </w:rPr>
        <w:t>Spadiut</w:t>
      </w:r>
      <w:proofErr w:type="spellEnd"/>
      <w:r>
        <w:rPr>
          <w:lang w:val="en-US"/>
        </w:rPr>
        <w:t xml:space="preserve">, </w:t>
      </w:r>
      <w:r w:rsidRPr="002F64E9">
        <w:rPr>
          <w:i/>
          <w:iCs/>
          <w:lang w:val="en-US"/>
        </w:rPr>
        <w:t>Glycobiology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2014</w:t>
      </w:r>
      <w:r>
        <w:rPr>
          <w:lang w:val="en-US"/>
        </w:rPr>
        <w:t>, 24, 852–863.</w:t>
      </w:r>
    </w:p>
    <w:sectPr w:rsidR="001E27DB" w:rsidRPr="00503B00" w:rsidSect="00513B2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2D"/>
    <w:rsid w:val="00054C9B"/>
    <w:rsid w:val="00086F2C"/>
    <w:rsid w:val="000F3C1E"/>
    <w:rsid w:val="000F412D"/>
    <w:rsid w:val="00134C35"/>
    <w:rsid w:val="0019284B"/>
    <w:rsid w:val="001B5C87"/>
    <w:rsid w:val="001E27DB"/>
    <w:rsid w:val="001E7940"/>
    <w:rsid w:val="002C1CCC"/>
    <w:rsid w:val="002F64E9"/>
    <w:rsid w:val="00306D10"/>
    <w:rsid w:val="00306FD3"/>
    <w:rsid w:val="0044579A"/>
    <w:rsid w:val="00503B00"/>
    <w:rsid w:val="00513B2D"/>
    <w:rsid w:val="006A790F"/>
    <w:rsid w:val="006F6CC5"/>
    <w:rsid w:val="00820DB3"/>
    <w:rsid w:val="009C1DF8"/>
    <w:rsid w:val="009E0364"/>
    <w:rsid w:val="009E437E"/>
    <w:rsid w:val="00AD3EBB"/>
    <w:rsid w:val="00C53B45"/>
    <w:rsid w:val="00D223A5"/>
    <w:rsid w:val="00D6023D"/>
    <w:rsid w:val="00E12740"/>
    <w:rsid w:val="00E50890"/>
    <w:rsid w:val="00EE5161"/>
    <w:rsid w:val="00F500BF"/>
    <w:rsid w:val="00F5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D9BC"/>
  <w15:chartTrackingRefBased/>
  <w15:docId w15:val="{EB50D644-F57C-4A7E-A75E-1CD43CFA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2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ESOR2019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Namjesnik</dc:creator>
  <cp:keywords/>
  <dc:description/>
  <cp:lastModifiedBy>antun</cp:lastModifiedBy>
  <cp:revision>17</cp:revision>
  <dcterms:created xsi:type="dcterms:W3CDTF">2016-11-24T22:26:00Z</dcterms:created>
  <dcterms:modified xsi:type="dcterms:W3CDTF">2021-07-19T09:48:00Z</dcterms:modified>
</cp:coreProperties>
</file>